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C5" w:rsidRDefault="004B25E7">
      <w:pPr>
        <w:pStyle w:val="Textbody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Приказ Министерства здравоохранения РФ от 21 марта 2014 г. № 252н</w:t>
      </w:r>
    </w:p>
    <w:p w:rsidR="00F74BC5" w:rsidRDefault="004B25E7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национального календаря профилактических прививок и календаря профилактических прививок по </w:t>
      </w:r>
      <w:r>
        <w:rPr>
          <w:rFonts w:ascii="Times New Roman" w:hAnsi="Times New Roman"/>
        </w:rPr>
        <w:t>эпидемическим показаниям»</w:t>
      </w:r>
    </w:p>
    <w:p w:rsidR="00F74BC5" w:rsidRDefault="004B25E7">
      <w:pPr>
        <w:pStyle w:val="2"/>
        <w:jc w:val="center"/>
        <w:rPr>
          <w:rFonts w:hint="eastAsia"/>
        </w:rPr>
      </w:pPr>
      <w:r>
        <w:t>„</w:t>
      </w:r>
      <w:r>
        <w:rPr>
          <w:rFonts w:ascii="arial, helvetica, sans-serif" w:hAnsi="arial, helvetica, sans-serif"/>
        </w:rPr>
        <w:t>Национальный календарь профилактических прививок“</w:t>
      </w:r>
    </w:p>
    <w:tbl>
      <w:tblPr>
        <w:tblW w:w="9638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2"/>
        <w:gridCol w:w="3937"/>
        <w:gridCol w:w="1869"/>
      </w:tblGrid>
      <w:tr w:rsidR="00F74BC5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BC5" w:rsidRDefault="00F74BC5">
            <w:pPr>
              <w:pStyle w:val="TableContents"/>
              <w:spacing w:after="283" w:line="210" w:lineRule="atLeast"/>
              <w:jc w:val="center"/>
              <w:rPr>
                <w:rFonts w:hint="eastAsia"/>
              </w:rPr>
            </w:pPr>
          </w:p>
          <w:p w:rsidR="00F74BC5" w:rsidRDefault="004B25E7">
            <w:pPr>
              <w:pStyle w:val="TableContents"/>
              <w:spacing w:after="283" w:line="210" w:lineRule="atLeast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ahoma" w:hAnsi="Tahoma"/>
                <w:sz w:val="19"/>
              </w:rPr>
              <w:t>Возраст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BC5" w:rsidRDefault="00F74BC5">
            <w:pPr>
              <w:pStyle w:val="TableContents"/>
              <w:spacing w:after="283" w:line="210" w:lineRule="atLeast"/>
              <w:jc w:val="center"/>
              <w:rPr>
                <w:rFonts w:hint="eastAsia"/>
              </w:rPr>
            </w:pPr>
          </w:p>
          <w:p w:rsidR="00F74BC5" w:rsidRDefault="004B25E7">
            <w:pPr>
              <w:pStyle w:val="TableContents"/>
              <w:spacing w:after="283" w:line="210" w:lineRule="atLeast"/>
              <w:jc w:val="center"/>
              <w:rPr>
                <w:rFonts w:hint="eastAsia"/>
              </w:rPr>
            </w:pPr>
            <w:r>
              <w:rPr>
                <w:rStyle w:val="StrongEmphasis"/>
                <w:rFonts w:ascii="Tahoma" w:hAnsi="Tahoma"/>
                <w:sz w:val="19"/>
              </w:rPr>
              <w:t>Наименование прививки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F74BC5">
            <w:pPr>
              <w:pStyle w:val="TableContents"/>
              <w:spacing w:after="283" w:line="210" w:lineRule="atLeast"/>
              <w:jc w:val="center"/>
              <w:rPr>
                <w:rFonts w:hint="eastAsia"/>
              </w:rPr>
            </w:pPr>
          </w:p>
          <w:p w:rsidR="00F74BC5" w:rsidRDefault="004B25E7">
            <w:pPr>
              <w:pStyle w:val="TableContents"/>
              <w:spacing w:after="283" w:line="210" w:lineRule="atLeast"/>
              <w:jc w:val="center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sz w:val="19"/>
              </w:rPr>
              <w:t>Вакцины</w:t>
            </w:r>
          </w:p>
        </w:tc>
      </w:tr>
      <w:tr w:rsidR="00F74BC5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BC5" w:rsidRDefault="004B25E7">
            <w:pPr>
              <w:pStyle w:val="TableContent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 месяцев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line="210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Вакцинация против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кори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краснухи, эпидемического паротита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6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Приорикс</w:t>
              </w:r>
            </w:hyperlink>
          </w:p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7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Коревая</w:t>
              </w:r>
            </w:hyperlink>
          </w:p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8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Краснуха</w:t>
              </w:r>
            </w:hyperlink>
          </w:p>
        </w:tc>
      </w:tr>
      <w:tr w:rsidR="00F74BC5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after="283" w:line="21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line="210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Ревакцинация против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краснухи, эпидемического паротита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9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Приорикс</w:t>
              </w:r>
            </w:hyperlink>
          </w:p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10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Коревая</w:t>
              </w:r>
            </w:hyperlink>
          </w:p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11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Краснуха</w:t>
              </w:r>
            </w:hyperlink>
          </w:p>
        </w:tc>
      </w:tr>
      <w:tr w:rsidR="00F74BC5">
        <w:tblPrEx>
          <w:tblCellMar>
            <w:top w:w="0" w:type="dxa"/>
            <w:bottom w:w="0" w:type="dxa"/>
          </w:tblCellMar>
        </w:tblPrEx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BC5" w:rsidRDefault="004B25E7">
            <w:pPr>
              <w:pStyle w:val="TableContents"/>
              <w:spacing w:line="210" w:lineRule="atLeast"/>
              <w:rPr>
                <w:rFonts w:hint="eastAsia"/>
              </w:rPr>
            </w:pPr>
            <w:bookmarkStart w:id="1" w:name="l9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от 1 года до 18 лет(включительно)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 до 35 лет(включительно)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не болевшие, не привитые, привитые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однократно, не имеющие сведений о прививках против кори;</w:t>
            </w:r>
          </w:p>
          <w:p w:rsidR="00F74BC5" w:rsidRDefault="004B25E7">
            <w:pPr>
              <w:pStyle w:val="TableContents"/>
              <w:spacing w:line="210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 от 36 до 55 лет (включительно)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</w:t>
            </w:r>
            <w:r>
              <w:rPr>
                <w:rFonts w:ascii="Times New Roman" w:hAnsi="Times New Roman"/>
                <w:color w:val="000000"/>
              </w:rPr>
              <w:t>отающие вахтовым методом, и сотрудники государственных контрольных органов в пунктах пропуска через государственную границу Российской</w:t>
            </w:r>
            <w:bookmarkStart w:id="2" w:name="l10"/>
            <w:bookmarkEnd w:id="2"/>
            <w:r>
              <w:rPr>
                <w:rFonts w:ascii="Times New Roman" w:hAnsi="Times New Roman"/>
                <w:color w:val="000000"/>
              </w:rPr>
              <w:t xml:space="preserve">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Вакцинация против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кори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ревакцинация против 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кори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BC5" w:rsidRDefault="004B25E7">
            <w:pPr>
              <w:pStyle w:val="TableContents"/>
              <w:spacing w:after="283" w:line="210" w:lineRule="atLeast"/>
              <w:rPr>
                <w:rFonts w:hint="eastAsia"/>
              </w:rPr>
            </w:pPr>
            <w:hyperlink r:id="rId12" w:history="1">
              <w:r>
                <w:rPr>
                  <w:rFonts w:ascii="Times New Roman" w:hAnsi="Times New Roman"/>
                  <w:color w:val="924E32"/>
                  <w:sz w:val="28"/>
                  <w:szCs w:val="28"/>
                  <w:u w:val="single"/>
                </w:rPr>
                <w:t>Коревая</w:t>
              </w:r>
            </w:hyperlink>
          </w:p>
          <w:p w:rsidR="00F74BC5" w:rsidRDefault="00F74BC5">
            <w:pPr>
              <w:pStyle w:val="TableContents"/>
              <w:spacing w:after="283" w:line="210" w:lineRule="atLeast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F74BC5" w:rsidRDefault="00F74BC5">
      <w:pPr>
        <w:pStyle w:val="Textbody"/>
        <w:jc w:val="both"/>
        <w:rPr>
          <w:rFonts w:hint="eastAsia"/>
        </w:rPr>
      </w:pPr>
    </w:p>
    <w:sectPr w:rsidR="00F74BC5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E7" w:rsidRDefault="004B25E7">
      <w:pPr>
        <w:rPr>
          <w:rFonts w:hint="eastAsia"/>
        </w:rPr>
      </w:pPr>
      <w:r>
        <w:separator/>
      </w:r>
    </w:p>
  </w:endnote>
  <w:endnote w:type="continuationSeparator" w:id="0">
    <w:p w:rsidR="004B25E7" w:rsidRDefault="004B2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, helvetica, sans-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E7" w:rsidRDefault="004B25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25E7" w:rsidRDefault="004B25E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4BC5"/>
    <w:rsid w:val="004B25E7"/>
    <w:rsid w:val="00BA4201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7825-3F88-4EE7-BB61-F7A8135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ivka.spb.ru/vaccination/9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ivivka.spb.ru/vaccination/98/" TargetMode="External"/><Relationship Id="rId12" Type="http://schemas.openxmlformats.org/officeDocument/2006/relationships/hyperlink" Target="http://privivka.spb.ru/vaccination/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vivka.spb.ru/vaccination/88/" TargetMode="External"/><Relationship Id="rId11" Type="http://schemas.openxmlformats.org/officeDocument/2006/relationships/hyperlink" Target="http://privivka.spb.ru/vaccination/9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ivivka.spb.ru/vaccination/9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ivivka.spb.ru/vaccination/88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cp:lastPrinted>2018-07-06T16:24:00Z</cp:lastPrinted>
  <dcterms:created xsi:type="dcterms:W3CDTF">2019-02-05T19:17:00Z</dcterms:created>
  <dcterms:modified xsi:type="dcterms:W3CDTF">2019-02-05T19:17:00Z</dcterms:modified>
</cp:coreProperties>
</file>